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CB6423" w14:textId="61BE0F95" w:rsidR="002A5138" w:rsidRPr="00261228" w:rsidRDefault="002A5138" w:rsidP="002A5138">
      <w:pPr>
        <w:shd w:val="clear" w:color="auto" w:fill="FFFFFF"/>
        <w:spacing w:before="100" w:beforeAutospacing="1" w:after="100" w:afterAutospacing="1" w:line="240" w:lineRule="auto"/>
        <w:rPr>
          <w:rFonts w:eastAsia="Times New Roman" w:cstheme="minorHAnsi"/>
          <w:color w:val="00B050"/>
          <w:sz w:val="28"/>
          <w:szCs w:val="28"/>
          <w:lang w:val="en" w:eastAsia="en-GB"/>
        </w:rPr>
      </w:pPr>
      <w:r w:rsidRPr="00261228">
        <w:rPr>
          <w:rFonts w:eastAsia="Times New Roman" w:cstheme="minorHAnsi"/>
          <w:b/>
          <w:bCs/>
          <w:color w:val="00B050"/>
          <w:sz w:val="28"/>
          <w:szCs w:val="28"/>
          <w:lang w:val="en" w:eastAsia="en-GB"/>
        </w:rPr>
        <w:t xml:space="preserve">Why should you use EDLC </w:t>
      </w:r>
      <w:r w:rsidR="00874C6C">
        <w:rPr>
          <w:rFonts w:cstheme="minorHAnsi" w:hint="eastAsia"/>
          <w:b/>
          <w:bCs/>
          <w:color w:val="00B050"/>
          <w:sz w:val="28"/>
          <w:szCs w:val="28"/>
          <w:lang w:val="en" w:eastAsia="ko-KR"/>
        </w:rPr>
        <w:t>(</w:t>
      </w:r>
      <w:r w:rsidRPr="00261228">
        <w:rPr>
          <w:rFonts w:eastAsia="Times New Roman" w:cstheme="minorHAnsi"/>
          <w:b/>
          <w:bCs/>
          <w:color w:val="00B050"/>
          <w:sz w:val="28"/>
          <w:szCs w:val="28"/>
          <w:lang w:val="en" w:eastAsia="en-GB"/>
        </w:rPr>
        <w:t>Super</w:t>
      </w:r>
      <w:r w:rsidR="00874C6C">
        <w:rPr>
          <w:rFonts w:cstheme="minorHAnsi" w:hint="eastAsia"/>
          <w:b/>
          <w:bCs/>
          <w:color w:val="00B050"/>
          <w:sz w:val="28"/>
          <w:szCs w:val="28"/>
          <w:lang w:val="en" w:eastAsia="ko-KR"/>
        </w:rPr>
        <w:t>c</w:t>
      </w:r>
      <w:r w:rsidRPr="00261228">
        <w:rPr>
          <w:rFonts w:eastAsia="Times New Roman" w:cstheme="minorHAnsi"/>
          <w:b/>
          <w:bCs/>
          <w:color w:val="00B050"/>
          <w:sz w:val="28"/>
          <w:szCs w:val="28"/>
          <w:lang w:val="en" w:eastAsia="en-GB"/>
        </w:rPr>
        <w:t>apacitors</w:t>
      </w:r>
      <w:r w:rsidR="00874C6C">
        <w:rPr>
          <w:rFonts w:cstheme="minorHAnsi" w:hint="eastAsia"/>
          <w:b/>
          <w:bCs/>
          <w:color w:val="00B050"/>
          <w:sz w:val="28"/>
          <w:szCs w:val="28"/>
          <w:lang w:val="en" w:eastAsia="ko-KR"/>
        </w:rPr>
        <w:t>)</w:t>
      </w:r>
      <w:r w:rsidRPr="00261228">
        <w:rPr>
          <w:rFonts w:eastAsia="Times New Roman" w:cstheme="minorHAnsi"/>
          <w:b/>
          <w:bCs/>
          <w:color w:val="00B050"/>
          <w:sz w:val="28"/>
          <w:szCs w:val="28"/>
          <w:lang w:val="en" w:eastAsia="en-GB"/>
        </w:rPr>
        <w:t xml:space="preserve"> in </w:t>
      </w:r>
      <w:r w:rsidR="00A55BC9" w:rsidRPr="00261228">
        <w:rPr>
          <w:rFonts w:eastAsia="Times New Roman" w:cstheme="minorHAnsi"/>
          <w:b/>
          <w:bCs/>
          <w:color w:val="00B050"/>
          <w:sz w:val="28"/>
          <w:szCs w:val="28"/>
          <w:lang w:val="en" w:eastAsia="en-GB"/>
        </w:rPr>
        <w:t>Communication applications such as 5G</w:t>
      </w:r>
      <w:r w:rsidR="00874C6C">
        <w:rPr>
          <w:rFonts w:cstheme="minorHAnsi" w:hint="eastAsia"/>
          <w:b/>
          <w:bCs/>
          <w:color w:val="00B050"/>
          <w:sz w:val="28"/>
          <w:szCs w:val="28"/>
          <w:lang w:val="en" w:eastAsia="ko-KR"/>
        </w:rPr>
        <w:t>,</w:t>
      </w:r>
      <w:r w:rsidR="00A55BC9" w:rsidRPr="00261228">
        <w:rPr>
          <w:rFonts w:eastAsia="Times New Roman" w:cstheme="minorHAnsi"/>
          <w:b/>
          <w:bCs/>
          <w:color w:val="00B050"/>
          <w:sz w:val="28"/>
          <w:szCs w:val="28"/>
          <w:lang w:val="en" w:eastAsia="en-GB"/>
        </w:rPr>
        <w:t xml:space="preserve"> </w:t>
      </w:r>
      <w:r w:rsidRPr="00261228">
        <w:rPr>
          <w:rFonts w:eastAsia="Times New Roman" w:cstheme="minorHAnsi"/>
          <w:b/>
          <w:bCs/>
          <w:color w:val="00B050"/>
          <w:sz w:val="28"/>
          <w:szCs w:val="28"/>
          <w:lang w:val="en" w:eastAsia="en-GB"/>
        </w:rPr>
        <w:t>GPRS and NB</w:t>
      </w:r>
      <w:r w:rsidR="00874C6C">
        <w:rPr>
          <w:rFonts w:cstheme="minorHAnsi" w:hint="eastAsia"/>
          <w:b/>
          <w:bCs/>
          <w:color w:val="00B050"/>
          <w:sz w:val="28"/>
          <w:szCs w:val="28"/>
          <w:lang w:val="en" w:eastAsia="ko-KR"/>
        </w:rPr>
        <w:t>-</w:t>
      </w:r>
      <w:r w:rsidRPr="00261228">
        <w:rPr>
          <w:rFonts w:eastAsia="Times New Roman" w:cstheme="minorHAnsi"/>
          <w:b/>
          <w:bCs/>
          <w:color w:val="00B050"/>
          <w:sz w:val="28"/>
          <w:szCs w:val="28"/>
          <w:lang w:val="en" w:eastAsia="en-GB"/>
        </w:rPr>
        <w:t>IoT?</w:t>
      </w:r>
    </w:p>
    <w:p w14:paraId="0392F86D" w14:textId="5368BCFE" w:rsidR="00E26124" w:rsidRDefault="002A5138" w:rsidP="002A5138">
      <w:pPr>
        <w:shd w:val="clear" w:color="auto" w:fill="FFFFFF"/>
        <w:spacing w:before="100" w:beforeAutospacing="1" w:after="100" w:afterAutospacing="1" w:line="240" w:lineRule="auto"/>
        <w:rPr>
          <w:rFonts w:eastAsia="Times New Roman" w:cstheme="minorHAnsi"/>
          <w:color w:val="333333"/>
          <w:sz w:val="24"/>
          <w:szCs w:val="24"/>
          <w:lang w:val="en" w:eastAsia="en-GB"/>
        </w:rPr>
      </w:pPr>
      <w:r w:rsidRPr="00F43B65">
        <w:rPr>
          <w:rFonts w:eastAsia="Times New Roman" w:cstheme="minorHAnsi"/>
          <w:color w:val="333333"/>
          <w:sz w:val="24"/>
          <w:szCs w:val="24"/>
          <w:lang w:val="en" w:eastAsia="en-GB"/>
        </w:rPr>
        <w:t>GSM / GPRS</w:t>
      </w:r>
      <w:r w:rsidR="00227A2A" w:rsidRPr="00F43B65">
        <w:rPr>
          <w:rFonts w:eastAsia="Times New Roman" w:cstheme="minorHAnsi"/>
          <w:color w:val="333333"/>
          <w:sz w:val="24"/>
          <w:szCs w:val="24"/>
          <w:lang w:val="en" w:eastAsia="en-GB"/>
        </w:rPr>
        <w:t>/</w:t>
      </w:r>
      <w:r w:rsidR="00E26124">
        <w:rPr>
          <w:rFonts w:eastAsia="Times New Roman" w:cstheme="minorHAnsi"/>
          <w:color w:val="333333"/>
          <w:sz w:val="24"/>
          <w:szCs w:val="24"/>
          <w:lang w:val="en" w:eastAsia="en-GB"/>
        </w:rPr>
        <w:t xml:space="preserve"> NB</w:t>
      </w:r>
      <w:r w:rsidR="00874C6C">
        <w:rPr>
          <w:rFonts w:cstheme="minorHAnsi" w:hint="eastAsia"/>
          <w:color w:val="333333"/>
          <w:sz w:val="24"/>
          <w:szCs w:val="24"/>
          <w:lang w:val="en" w:eastAsia="ko-KR"/>
        </w:rPr>
        <w:t>-</w:t>
      </w:r>
      <w:r w:rsidR="00E26124">
        <w:rPr>
          <w:rFonts w:eastAsia="Times New Roman" w:cstheme="minorHAnsi"/>
          <w:color w:val="333333"/>
          <w:sz w:val="24"/>
          <w:szCs w:val="24"/>
          <w:lang w:val="en" w:eastAsia="en-GB"/>
        </w:rPr>
        <w:t>IoT</w:t>
      </w:r>
      <w:r w:rsidR="00227A2A" w:rsidRPr="00F43B65">
        <w:rPr>
          <w:rFonts w:eastAsia="Times New Roman" w:cstheme="minorHAnsi"/>
          <w:color w:val="333333"/>
          <w:sz w:val="24"/>
          <w:szCs w:val="24"/>
          <w:lang w:val="en" w:eastAsia="en-GB"/>
        </w:rPr>
        <w:t xml:space="preserve"> and 3G modules</w:t>
      </w:r>
      <w:r w:rsidRPr="00F43B65">
        <w:rPr>
          <w:rFonts w:eastAsia="Times New Roman" w:cstheme="minorHAnsi"/>
          <w:color w:val="333333"/>
          <w:sz w:val="24"/>
          <w:szCs w:val="24"/>
          <w:lang w:val="en" w:eastAsia="en-GB"/>
        </w:rPr>
        <w:t xml:space="preserve"> are im</w:t>
      </w:r>
      <w:r w:rsidR="000D17F4" w:rsidRPr="00F43B65">
        <w:rPr>
          <w:rFonts w:eastAsia="Times New Roman" w:cstheme="minorHAnsi"/>
          <w:color w:val="333333"/>
          <w:sz w:val="24"/>
          <w:szCs w:val="24"/>
          <w:lang w:val="en" w:eastAsia="en-GB"/>
        </w:rPr>
        <w:t xml:space="preserve">plemented mostly in the </w:t>
      </w:r>
      <w:r w:rsidR="00227A2A" w:rsidRPr="00F43B65">
        <w:rPr>
          <w:rFonts w:eastAsia="Times New Roman" w:cstheme="minorHAnsi"/>
          <w:color w:val="333333"/>
          <w:sz w:val="24"/>
          <w:szCs w:val="24"/>
          <w:lang w:val="en" w:eastAsia="en-GB"/>
        </w:rPr>
        <w:t>growing IoT</w:t>
      </w:r>
      <w:r w:rsidR="000D17F4" w:rsidRPr="00F43B65">
        <w:rPr>
          <w:rFonts w:eastAsia="Times New Roman" w:cstheme="minorHAnsi"/>
          <w:color w:val="333333"/>
          <w:sz w:val="24"/>
          <w:szCs w:val="24"/>
          <w:lang w:val="en" w:eastAsia="en-GB"/>
        </w:rPr>
        <w:t xml:space="preserve"> sector</w:t>
      </w:r>
      <w:r w:rsidRPr="00F43B65">
        <w:rPr>
          <w:rFonts w:eastAsia="Times New Roman" w:cstheme="minorHAnsi"/>
          <w:color w:val="333333"/>
          <w:sz w:val="24"/>
          <w:szCs w:val="24"/>
          <w:lang w:val="en" w:eastAsia="en-GB"/>
        </w:rPr>
        <w:t xml:space="preserve">. </w:t>
      </w:r>
      <w:r w:rsidR="00E26124">
        <w:rPr>
          <w:rFonts w:eastAsia="Times New Roman" w:cstheme="minorHAnsi"/>
          <w:color w:val="333333"/>
          <w:sz w:val="24"/>
          <w:szCs w:val="24"/>
          <w:lang w:val="en" w:eastAsia="en-GB"/>
        </w:rPr>
        <w:t>The applications cover a wide range from Sensor networks to lighting, AMR and security projects. The market is growing very quickly</w:t>
      </w:r>
      <w:r w:rsidR="001B4680">
        <w:rPr>
          <w:rFonts w:eastAsia="Times New Roman" w:cstheme="minorHAnsi"/>
          <w:color w:val="333333"/>
          <w:sz w:val="24"/>
          <w:szCs w:val="24"/>
          <w:lang w:val="en" w:eastAsia="en-GB"/>
        </w:rPr>
        <w:t>.</w:t>
      </w:r>
    </w:p>
    <w:p w14:paraId="0BDD9AE2" w14:textId="5B81050A" w:rsidR="000D17F4" w:rsidRPr="00F43B65" w:rsidRDefault="00E26124" w:rsidP="002A5138">
      <w:pPr>
        <w:shd w:val="clear" w:color="auto" w:fill="FFFFFF"/>
        <w:spacing w:before="100" w:beforeAutospacing="1" w:after="100" w:afterAutospacing="1" w:line="240" w:lineRule="auto"/>
        <w:rPr>
          <w:rFonts w:eastAsia="Times New Roman" w:cstheme="minorHAnsi"/>
          <w:color w:val="333333"/>
          <w:sz w:val="24"/>
          <w:szCs w:val="24"/>
          <w:lang w:val="en" w:eastAsia="en-GB"/>
        </w:rPr>
      </w:pPr>
      <w:r>
        <w:rPr>
          <w:rFonts w:eastAsia="Times New Roman" w:cstheme="minorHAnsi"/>
          <w:color w:val="333333"/>
          <w:sz w:val="24"/>
          <w:szCs w:val="24"/>
          <w:lang w:val="en" w:eastAsia="en-GB"/>
        </w:rPr>
        <w:t>Communication</w:t>
      </w:r>
      <w:r w:rsidR="002A5138" w:rsidRPr="00F43B65">
        <w:rPr>
          <w:rFonts w:eastAsia="Times New Roman" w:cstheme="minorHAnsi"/>
          <w:color w:val="333333"/>
          <w:sz w:val="24"/>
          <w:szCs w:val="24"/>
          <w:lang w:val="en" w:eastAsia="en-GB"/>
        </w:rPr>
        <w:t xml:space="preserve"> modules </w:t>
      </w:r>
      <w:r w:rsidR="000D17F4" w:rsidRPr="00F43B65">
        <w:rPr>
          <w:rFonts w:eastAsia="Times New Roman" w:cstheme="minorHAnsi"/>
          <w:color w:val="333333"/>
          <w:sz w:val="24"/>
          <w:szCs w:val="24"/>
          <w:lang w:val="en" w:eastAsia="en-GB"/>
        </w:rPr>
        <w:t xml:space="preserve">typically </w:t>
      </w:r>
      <w:r w:rsidR="002A5138" w:rsidRPr="00F43B65">
        <w:rPr>
          <w:rFonts w:eastAsia="Times New Roman" w:cstheme="minorHAnsi"/>
          <w:color w:val="333333"/>
          <w:sz w:val="24"/>
          <w:szCs w:val="24"/>
          <w:lang w:val="en" w:eastAsia="en-GB"/>
        </w:rPr>
        <w:t>use either Lithium</w:t>
      </w:r>
      <w:r w:rsidR="00874C6C">
        <w:rPr>
          <w:rFonts w:cstheme="minorHAnsi" w:hint="eastAsia"/>
          <w:color w:val="333333"/>
          <w:sz w:val="24"/>
          <w:szCs w:val="24"/>
          <w:lang w:val="en" w:eastAsia="ko-KR"/>
        </w:rPr>
        <w:t>-</w:t>
      </w:r>
      <w:r w:rsidR="002A5138" w:rsidRPr="00F43B65">
        <w:rPr>
          <w:rFonts w:eastAsia="Times New Roman" w:cstheme="minorHAnsi"/>
          <w:color w:val="333333"/>
          <w:sz w:val="24"/>
          <w:szCs w:val="24"/>
          <w:lang w:val="en" w:eastAsia="en-GB"/>
        </w:rPr>
        <w:t xml:space="preserve">Ion rechargeable </w:t>
      </w:r>
      <w:r w:rsidR="00227A2A" w:rsidRPr="00F43B65">
        <w:rPr>
          <w:rFonts w:eastAsia="Times New Roman" w:cstheme="minorHAnsi"/>
          <w:color w:val="333333"/>
          <w:sz w:val="24"/>
          <w:szCs w:val="24"/>
          <w:lang w:val="en" w:eastAsia="en-GB"/>
        </w:rPr>
        <w:t>batteries</w:t>
      </w:r>
      <w:r w:rsidR="002A5138" w:rsidRPr="00F43B65">
        <w:rPr>
          <w:rFonts w:eastAsia="Times New Roman" w:cstheme="minorHAnsi"/>
          <w:color w:val="333333"/>
          <w:sz w:val="24"/>
          <w:szCs w:val="24"/>
          <w:lang w:val="en" w:eastAsia="en-GB"/>
        </w:rPr>
        <w:t xml:space="preserve"> or Lithium Thionyl Chl</w:t>
      </w:r>
      <w:r w:rsidR="00227A2A" w:rsidRPr="00F43B65">
        <w:rPr>
          <w:rFonts w:eastAsia="Times New Roman" w:cstheme="minorHAnsi"/>
          <w:color w:val="333333"/>
          <w:sz w:val="24"/>
          <w:szCs w:val="24"/>
          <w:lang w:val="en" w:eastAsia="en-GB"/>
        </w:rPr>
        <w:t xml:space="preserve">oride </w:t>
      </w:r>
      <w:r>
        <w:rPr>
          <w:rFonts w:eastAsia="Times New Roman" w:cstheme="minorHAnsi"/>
          <w:color w:val="333333"/>
          <w:sz w:val="24"/>
          <w:szCs w:val="24"/>
          <w:lang w:val="en" w:eastAsia="en-GB"/>
        </w:rPr>
        <w:t>Li</w:t>
      </w:r>
      <w:r w:rsidR="00874C6C">
        <w:rPr>
          <w:rFonts w:cstheme="minorHAnsi" w:hint="eastAsia"/>
          <w:color w:val="333333"/>
          <w:sz w:val="24"/>
          <w:szCs w:val="24"/>
          <w:lang w:val="en" w:eastAsia="ko-KR"/>
        </w:rPr>
        <w:t>/</w:t>
      </w:r>
      <w:r>
        <w:rPr>
          <w:rFonts w:eastAsia="Times New Roman" w:cstheme="minorHAnsi"/>
          <w:color w:val="333333"/>
          <w:sz w:val="24"/>
          <w:szCs w:val="24"/>
          <w:lang w:val="en" w:eastAsia="en-GB"/>
        </w:rPr>
        <w:t>SOCL</w:t>
      </w:r>
      <w:r w:rsidR="00260AF7">
        <w:rPr>
          <w:rFonts w:eastAsia="Times New Roman" w:cstheme="minorHAnsi"/>
          <w:color w:val="333333"/>
          <w:sz w:val="24"/>
          <w:szCs w:val="24"/>
          <w:lang w:val="en" w:eastAsia="en-GB"/>
        </w:rPr>
        <w:t xml:space="preserve">2 </w:t>
      </w:r>
      <w:r w:rsidR="00260AF7" w:rsidRPr="00F43B65">
        <w:rPr>
          <w:rFonts w:eastAsia="Times New Roman" w:cstheme="minorHAnsi"/>
          <w:color w:val="333333"/>
          <w:sz w:val="24"/>
          <w:szCs w:val="24"/>
          <w:lang w:val="en" w:eastAsia="en-GB"/>
        </w:rPr>
        <w:t>non</w:t>
      </w:r>
      <w:r w:rsidR="00227A2A" w:rsidRPr="00F43B65">
        <w:rPr>
          <w:rFonts w:eastAsia="Times New Roman" w:cstheme="minorHAnsi"/>
          <w:color w:val="333333"/>
          <w:sz w:val="24"/>
          <w:szCs w:val="24"/>
          <w:lang w:val="en" w:eastAsia="en-GB"/>
        </w:rPr>
        <w:t xml:space="preserve">-rechargeable </w:t>
      </w:r>
      <w:r>
        <w:rPr>
          <w:rFonts w:eastAsia="Times New Roman" w:cstheme="minorHAnsi"/>
          <w:color w:val="333333"/>
          <w:sz w:val="24"/>
          <w:szCs w:val="24"/>
          <w:lang w:val="en" w:eastAsia="en-GB"/>
        </w:rPr>
        <w:t xml:space="preserve">batteries </w:t>
      </w:r>
      <w:r w:rsidR="00227A2A" w:rsidRPr="00F43B65">
        <w:rPr>
          <w:rFonts w:eastAsia="Times New Roman" w:cstheme="minorHAnsi"/>
          <w:color w:val="333333"/>
          <w:sz w:val="24"/>
          <w:szCs w:val="24"/>
          <w:lang w:val="en" w:eastAsia="en-GB"/>
        </w:rPr>
        <w:t>as the</w:t>
      </w:r>
      <w:r>
        <w:rPr>
          <w:rFonts w:eastAsia="Times New Roman" w:cstheme="minorHAnsi"/>
          <w:color w:val="333333"/>
          <w:sz w:val="24"/>
          <w:szCs w:val="24"/>
          <w:lang w:val="en" w:eastAsia="en-GB"/>
        </w:rPr>
        <w:t>ir</w:t>
      </w:r>
      <w:r w:rsidR="00227A2A" w:rsidRPr="00F43B65">
        <w:rPr>
          <w:rFonts w:eastAsia="Times New Roman" w:cstheme="minorHAnsi"/>
          <w:color w:val="333333"/>
          <w:sz w:val="24"/>
          <w:szCs w:val="24"/>
          <w:lang w:val="en" w:eastAsia="en-GB"/>
        </w:rPr>
        <w:t xml:space="preserve"> primary power source</w:t>
      </w:r>
      <w:r w:rsidR="000D17F4" w:rsidRPr="00F43B65">
        <w:rPr>
          <w:rFonts w:eastAsia="Times New Roman" w:cstheme="minorHAnsi"/>
          <w:color w:val="333333"/>
          <w:sz w:val="24"/>
          <w:szCs w:val="24"/>
          <w:lang w:val="en" w:eastAsia="en-GB"/>
        </w:rPr>
        <w:t xml:space="preserve"> </w:t>
      </w:r>
      <w:r w:rsidR="00227A2A" w:rsidRPr="00F43B65">
        <w:rPr>
          <w:rFonts w:eastAsia="Times New Roman" w:cstheme="minorHAnsi"/>
          <w:color w:val="333333"/>
          <w:sz w:val="24"/>
          <w:szCs w:val="24"/>
          <w:lang w:val="en" w:eastAsia="en-GB"/>
        </w:rPr>
        <w:t>or trickling pow</w:t>
      </w:r>
      <w:r w:rsidR="00585A9A" w:rsidRPr="00F43B65">
        <w:rPr>
          <w:rFonts w:eastAsia="Times New Roman" w:cstheme="minorHAnsi"/>
          <w:color w:val="333333"/>
          <w:sz w:val="24"/>
          <w:szCs w:val="24"/>
          <w:lang w:val="en" w:eastAsia="en-GB"/>
        </w:rPr>
        <w:t>er from a mains source as seen in electricity meters.</w:t>
      </w:r>
    </w:p>
    <w:p w14:paraId="4F8B74E4" w14:textId="6E3B4156" w:rsidR="00585A9A" w:rsidRPr="00F43B65" w:rsidRDefault="00874C6C" w:rsidP="00585A9A">
      <w:pPr>
        <w:shd w:val="clear" w:color="auto" w:fill="FFFFFF"/>
        <w:spacing w:before="100" w:beforeAutospacing="1" w:after="100" w:afterAutospacing="1" w:line="240" w:lineRule="auto"/>
        <w:rPr>
          <w:rFonts w:eastAsia="Times New Roman" w:cstheme="minorHAnsi"/>
          <w:color w:val="333333"/>
          <w:sz w:val="24"/>
          <w:szCs w:val="24"/>
          <w:lang w:val="en" w:eastAsia="en-GB"/>
        </w:rPr>
      </w:pPr>
      <w:r w:rsidRPr="00874C6C">
        <w:rPr>
          <w:rFonts w:eastAsia="Times New Roman" w:cstheme="minorHAnsi"/>
          <w:color w:val="333333"/>
          <w:sz w:val="24"/>
          <w:szCs w:val="24"/>
          <w:lang w:eastAsia="en-GB"/>
        </w:rPr>
        <w:t>During the short GPRS transmission pulse (1.9–2.5A), a lithium-ion battery may deliver only about 1A, as is also the case with NB-IoT pulses.</w:t>
      </w:r>
    </w:p>
    <w:p w14:paraId="11481A61" w14:textId="01F53371" w:rsidR="00874C6C" w:rsidRDefault="00874C6C" w:rsidP="002A5138">
      <w:pPr>
        <w:shd w:val="clear" w:color="auto" w:fill="FFFFFF"/>
        <w:spacing w:before="100" w:beforeAutospacing="1" w:after="100" w:afterAutospacing="1" w:line="240" w:lineRule="auto"/>
        <w:rPr>
          <w:rFonts w:cstheme="minorHAnsi"/>
          <w:color w:val="333333"/>
          <w:sz w:val="24"/>
          <w:szCs w:val="24"/>
          <w:lang w:val="en" w:eastAsia="ko-KR"/>
        </w:rPr>
      </w:pPr>
      <w:r w:rsidRPr="00874C6C">
        <w:rPr>
          <w:rFonts w:cstheme="minorHAnsi"/>
          <w:color w:val="333333"/>
          <w:sz w:val="24"/>
          <w:szCs w:val="24"/>
          <w:lang w:val="en" w:eastAsia="ko-KR"/>
        </w:rPr>
        <w:t xml:space="preserve">This reduction in short-term power delivery prevents the serious </w:t>
      </w:r>
      <w:r>
        <w:rPr>
          <w:rFonts w:cstheme="minorHAnsi"/>
          <w:color w:val="333333"/>
          <w:sz w:val="24"/>
          <w:szCs w:val="24"/>
          <w:lang w:val="en" w:eastAsia="ko-KR"/>
        </w:rPr>
        <w:t>“</w:t>
      </w:r>
      <w:r w:rsidRPr="00874C6C">
        <w:rPr>
          <w:rFonts w:cstheme="minorHAnsi"/>
          <w:color w:val="333333"/>
          <w:sz w:val="24"/>
          <w:szCs w:val="24"/>
          <w:lang w:val="en" w:eastAsia="ko-KR"/>
        </w:rPr>
        <w:t>voltage recovery</w:t>
      </w:r>
      <w:r>
        <w:rPr>
          <w:rFonts w:cstheme="minorHAnsi"/>
          <w:color w:val="333333"/>
          <w:sz w:val="24"/>
          <w:szCs w:val="24"/>
          <w:lang w:val="en" w:eastAsia="ko-KR"/>
        </w:rPr>
        <w:t>”</w:t>
      </w:r>
      <w:r w:rsidRPr="00874C6C">
        <w:rPr>
          <w:rFonts w:cstheme="minorHAnsi"/>
          <w:color w:val="333333"/>
          <w:sz w:val="24"/>
          <w:szCs w:val="24"/>
          <w:lang w:val="en" w:eastAsia="ko-KR"/>
        </w:rPr>
        <w:t xml:space="preserve"> effect, where battery voltage fails to return to its previous level after a high-current pulse. Repeated discharge and recharge cycling under these conditions limits a lithium-ion battery’s life to around 1,000 full cycles.</w:t>
      </w:r>
    </w:p>
    <w:p w14:paraId="5240457A" w14:textId="0A9B7CF9" w:rsidR="003E5EBA" w:rsidRDefault="003E5EBA" w:rsidP="002A5138">
      <w:pPr>
        <w:shd w:val="clear" w:color="auto" w:fill="FFFFFF"/>
        <w:spacing w:before="100" w:beforeAutospacing="1" w:after="100" w:afterAutospacing="1" w:line="240" w:lineRule="auto"/>
        <w:rPr>
          <w:rFonts w:cstheme="minorHAnsi"/>
          <w:color w:val="333333"/>
          <w:sz w:val="24"/>
          <w:szCs w:val="24"/>
          <w:lang w:val="en" w:eastAsia="ko-KR"/>
        </w:rPr>
      </w:pPr>
      <w:r w:rsidRPr="003E5EBA">
        <w:rPr>
          <w:rFonts w:cstheme="minorHAnsi"/>
          <w:color w:val="333333"/>
          <w:sz w:val="24"/>
          <w:szCs w:val="24"/>
          <w:lang w:val="en" w:eastAsia="ko-KR"/>
        </w:rPr>
        <w:t xml:space="preserve">By adding </w:t>
      </w:r>
      <w:proofErr w:type="spellStart"/>
      <w:r w:rsidRPr="003E5EBA">
        <w:rPr>
          <w:rFonts w:cstheme="minorHAnsi"/>
          <w:color w:val="333333"/>
          <w:sz w:val="24"/>
          <w:szCs w:val="24"/>
          <w:lang w:val="en" w:eastAsia="ko-KR"/>
        </w:rPr>
        <w:t>VINATech’s</w:t>
      </w:r>
      <w:proofErr w:type="spellEnd"/>
      <w:r w:rsidRPr="003E5EBA">
        <w:rPr>
          <w:rFonts w:cstheme="minorHAnsi"/>
          <w:color w:val="333333"/>
          <w:sz w:val="24"/>
          <w:szCs w:val="24"/>
          <w:lang w:val="en" w:eastAsia="ko-KR"/>
        </w:rPr>
        <w:t xml:space="preserve"> WEC 3V series supercapacitors alongside the primary battery, the system can handle pulse demands without forcing the battery into voltage recovery. Without supercapacitor support, the battery alone must deliver currents of 2A or more, leading to early discharge and restricting operation near its shutdown threshold. Between GSM pulses (4.2 msec), the battery can recharge the supercapacitor smoothly.</w:t>
      </w:r>
    </w:p>
    <w:p w14:paraId="0A5D01C9" w14:textId="24708DC4" w:rsidR="003E5EBA" w:rsidRDefault="003E5EBA" w:rsidP="002A5138">
      <w:pPr>
        <w:shd w:val="clear" w:color="auto" w:fill="FFFFFF"/>
        <w:spacing w:before="100" w:beforeAutospacing="1" w:after="100" w:afterAutospacing="1" w:line="240" w:lineRule="auto"/>
        <w:rPr>
          <w:rFonts w:cstheme="minorHAnsi"/>
          <w:color w:val="333333"/>
          <w:sz w:val="24"/>
          <w:szCs w:val="24"/>
          <w:lang w:val="en" w:eastAsia="ko-KR"/>
        </w:rPr>
      </w:pPr>
      <w:r w:rsidRPr="003E5EBA">
        <w:rPr>
          <w:rFonts w:cstheme="minorHAnsi"/>
          <w:color w:val="333333"/>
          <w:sz w:val="24"/>
          <w:szCs w:val="24"/>
          <w:lang w:val="en" w:eastAsia="ko-KR"/>
        </w:rPr>
        <w:t>Today, IoT suppliers typically expect lifetimes of at least 15 years, with many targeting 20 years—something batteries alone cannot achieve. With the right supercapacitor, however, these lifetimes are realistic.</w:t>
      </w:r>
    </w:p>
    <w:p w14:paraId="5F78A199" w14:textId="77777777" w:rsidR="003E5EBA" w:rsidRDefault="003E5EBA" w:rsidP="002A5138">
      <w:pPr>
        <w:shd w:val="clear" w:color="auto" w:fill="FFFFFF"/>
        <w:spacing w:before="100" w:beforeAutospacing="1" w:after="100" w:afterAutospacing="1" w:line="240" w:lineRule="auto"/>
        <w:rPr>
          <w:rFonts w:cstheme="minorHAnsi"/>
          <w:color w:val="333333"/>
          <w:sz w:val="24"/>
          <w:szCs w:val="24"/>
          <w:lang w:val="en" w:eastAsia="ko-KR"/>
        </w:rPr>
      </w:pPr>
      <w:r w:rsidRPr="003E5EBA">
        <w:rPr>
          <w:rFonts w:eastAsia="Times New Roman" w:cstheme="minorHAnsi"/>
          <w:color w:val="333333"/>
          <w:sz w:val="24"/>
          <w:szCs w:val="24"/>
          <w:lang w:val="en" w:eastAsia="en-GB"/>
        </w:rPr>
        <w:t>In the rapidly growing smart home and smart metering markets (electricity, gas, water), EDLCs are becoming the preferred power companion, offering both performance and environmental benefits.</w:t>
      </w:r>
    </w:p>
    <w:p w14:paraId="6C619C13" w14:textId="3E527A92" w:rsidR="003E5EBA" w:rsidRDefault="003E5EBA" w:rsidP="002A5138">
      <w:pPr>
        <w:shd w:val="clear" w:color="auto" w:fill="FFFFFF"/>
        <w:spacing w:before="100" w:beforeAutospacing="1" w:after="100" w:afterAutospacing="1" w:line="240" w:lineRule="auto"/>
        <w:rPr>
          <w:rFonts w:cstheme="minorHAnsi"/>
          <w:color w:val="333333"/>
          <w:sz w:val="24"/>
          <w:szCs w:val="24"/>
          <w:lang w:val="en" w:eastAsia="ko-KR"/>
        </w:rPr>
      </w:pPr>
      <w:r w:rsidRPr="003E5EBA">
        <w:rPr>
          <w:rFonts w:cstheme="minorHAnsi"/>
          <w:color w:val="333333"/>
          <w:sz w:val="24"/>
          <w:szCs w:val="24"/>
          <w:lang w:val="en" w:eastAsia="ko-KR"/>
        </w:rPr>
        <w:t xml:space="preserve">As technology shifts towards NB-IoT, which operates at lower power but still demands 1.6–1.9A in transmission output, EDLCs remain essential to meet these peaks. Other low-power radio technologies—M-BUS, Sigfox, Wi-Fi, </w:t>
      </w:r>
      <w:proofErr w:type="spellStart"/>
      <w:r w:rsidRPr="003E5EBA">
        <w:rPr>
          <w:rFonts w:cstheme="minorHAnsi"/>
          <w:color w:val="333333"/>
          <w:sz w:val="24"/>
          <w:szCs w:val="24"/>
          <w:lang w:val="en" w:eastAsia="ko-KR"/>
        </w:rPr>
        <w:t>LoRaWAN</w:t>
      </w:r>
      <w:proofErr w:type="spellEnd"/>
      <w:r w:rsidRPr="003E5EBA">
        <w:rPr>
          <w:rFonts w:cstheme="minorHAnsi"/>
          <w:color w:val="333333"/>
          <w:sz w:val="24"/>
          <w:szCs w:val="24"/>
          <w:lang w:val="en" w:eastAsia="ko-KR"/>
        </w:rPr>
        <w:t>—also require pulse power, though at lower levels, where EDLCs can still provide value in RTC backup and actuator support.</w:t>
      </w:r>
    </w:p>
    <w:tbl>
      <w:tblPr>
        <w:tblW w:w="7380" w:type="dxa"/>
        <w:tblLook w:val="04A0" w:firstRow="1" w:lastRow="0" w:firstColumn="1" w:lastColumn="0" w:noHBand="0" w:noVBand="1"/>
      </w:tblPr>
      <w:tblGrid>
        <w:gridCol w:w="2420"/>
        <w:gridCol w:w="2260"/>
        <w:gridCol w:w="1440"/>
        <w:gridCol w:w="1260"/>
      </w:tblGrid>
      <w:tr w:rsidR="00FD3478" w:rsidRPr="00FD3478" w14:paraId="15A8441B" w14:textId="77777777" w:rsidTr="00FD3478">
        <w:trPr>
          <w:trHeight w:val="300"/>
        </w:trPr>
        <w:tc>
          <w:tcPr>
            <w:tcW w:w="2420" w:type="dxa"/>
            <w:tcBorders>
              <w:top w:val="single" w:sz="4" w:space="0" w:color="000000"/>
              <w:left w:val="single" w:sz="4" w:space="0" w:color="000000"/>
              <w:bottom w:val="single" w:sz="4" w:space="0" w:color="000000"/>
              <w:right w:val="single" w:sz="4" w:space="0" w:color="808080"/>
            </w:tcBorders>
            <w:shd w:val="clear" w:color="000000" w:fill="000000"/>
            <w:noWrap/>
            <w:vAlign w:val="center"/>
            <w:hideMark/>
          </w:tcPr>
          <w:p w14:paraId="3E46B6F1" w14:textId="77777777" w:rsidR="00FD3478" w:rsidRPr="00FD3478" w:rsidRDefault="00FD3478" w:rsidP="00FD3478">
            <w:pPr>
              <w:spacing w:after="0" w:line="240" w:lineRule="auto"/>
              <w:jc w:val="center"/>
              <w:rPr>
                <w:rFonts w:ascii="Aptos Narrow" w:eastAsia="Times New Roman" w:hAnsi="Aptos Narrow" w:cs="Calibri"/>
                <w:color w:val="FFFFFF"/>
                <w:lang w:eastAsia="ko-KR"/>
              </w:rPr>
            </w:pPr>
            <w:r w:rsidRPr="00FD3478">
              <w:rPr>
                <w:rFonts w:ascii="Aptos Narrow" w:eastAsia="Times New Roman" w:hAnsi="Aptos Narrow" w:cs="Calibri"/>
                <w:color w:val="FFFFFF"/>
                <w:lang w:eastAsia="ko-KR"/>
              </w:rPr>
              <w:t>Typical applications</w:t>
            </w:r>
          </w:p>
        </w:tc>
        <w:tc>
          <w:tcPr>
            <w:tcW w:w="2260" w:type="dxa"/>
            <w:tcBorders>
              <w:top w:val="single" w:sz="4" w:space="0" w:color="000000"/>
              <w:left w:val="nil"/>
              <w:bottom w:val="single" w:sz="4" w:space="0" w:color="808080"/>
              <w:right w:val="single" w:sz="4" w:space="0" w:color="808080"/>
            </w:tcBorders>
            <w:shd w:val="clear" w:color="000000" w:fill="000000"/>
            <w:noWrap/>
            <w:vAlign w:val="center"/>
            <w:hideMark/>
          </w:tcPr>
          <w:p w14:paraId="39E50E92" w14:textId="77777777" w:rsidR="00FD3478" w:rsidRPr="00FD3478" w:rsidRDefault="00FD3478" w:rsidP="00FD3478">
            <w:pPr>
              <w:spacing w:after="0" w:line="240" w:lineRule="auto"/>
              <w:jc w:val="center"/>
              <w:rPr>
                <w:rFonts w:ascii="Aptos Narrow" w:eastAsia="Times New Roman" w:hAnsi="Aptos Narrow" w:cs="Calibri"/>
                <w:color w:val="FFFFFF"/>
                <w:lang w:eastAsia="ko-KR"/>
              </w:rPr>
            </w:pPr>
            <w:r w:rsidRPr="00FD3478">
              <w:rPr>
                <w:rFonts w:ascii="Aptos Narrow" w:eastAsia="Times New Roman" w:hAnsi="Aptos Narrow" w:cs="Calibri"/>
                <w:color w:val="FFFFFF"/>
                <w:lang w:eastAsia="ko-KR"/>
              </w:rPr>
              <w:t>Comms type</w:t>
            </w:r>
          </w:p>
        </w:tc>
        <w:tc>
          <w:tcPr>
            <w:tcW w:w="1440" w:type="dxa"/>
            <w:tcBorders>
              <w:top w:val="single" w:sz="4" w:space="0" w:color="000000"/>
              <w:left w:val="nil"/>
              <w:bottom w:val="single" w:sz="4" w:space="0" w:color="000000"/>
              <w:right w:val="single" w:sz="4" w:space="0" w:color="808080"/>
            </w:tcBorders>
            <w:shd w:val="clear" w:color="000000" w:fill="000000"/>
            <w:noWrap/>
            <w:vAlign w:val="center"/>
            <w:hideMark/>
          </w:tcPr>
          <w:p w14:paraId="236CDAC5" w14:textId="77777777" w:rsidR="00FD3478" w:rsidRPr="00FD3478" w:rsidRDefault="00FD3478" w:rsidP="00FD3478">
            <w:pPr>
              <w:spacing w:after="0" w:line="240" w:lineRule="auto"/>
              <w:jc w:val="center"/>
              <w:rPr>
                <w:rFonts w:ascii="Aptos Narrow" w:eastAsia="Times New Roman" w:hAnsi="Aptos Narrow" w:cs="Calibri"/>
                <w:color w:val="FFFFFF"/>
                <w:lang w:eastAsia="ko-KR"/>
              </w:rPr>
            </w:pPr>
            <w:r w:rsidRPr="00FD3478">
              <w:rPr>
                <w:rFonts w:ascii="Aptos Narrow" w:eastAsia="Times New Roman" w:hAnsi="Aptos Narrow" w:cs="Calibri"/>
                <w:color w:val="FFFFFF"/>
                <w:lang w:eastAsia="ko-KR"/>
              </w:rPr>
              <w:t>Prime power</w:t>
            </w:r>
          </w:p>
        </w:tc>
        <w:tc>
          <w:tcPr>
            <w:tcW w:w="1260" w:type="dxa"/>
            <w:tcBorders>
              <w:top w:val="single" w:sz="4" w:space="0" w:color="000000"/>
              <w:left w:val="nil"/>
              <w:bottom w:val="single" w:sz="4" w:space="0" w:color="000000"/>
              <w:right w:val="single" w:sz="4" w:space="0" w:color="000000"/>
            </w:tcBorders>
            <w:shd w:val="clear" w:color="000000" w:fill="000000"/>
            <w:noWrap/>
            <w:vAlign w:val="center"/>
            <w:hideMark/>
          </w:tcPr>
          <w:p w14:paraId="22118857" w14:textId="77777777" w:rsidR="00FD3478" w:rsidRPr="00FD3478" w:rsidRDefault="00FD3478" w:rsidP="00FD3478">
            <w:pPr>
              <w:spacing w:after="0" w:line="240" w:lineRule="auto"/>
              <w:jc w:val="center"/>
              <w:rPr>
                <w:rFonts w:ascii="Aptos Narrow" w:eastAsia="Times New Roman" w:hAnsi="Aptos Narrow" w:cs="Calibri"/>
                <w:color w:val="FFFFFF"/>
                <w:lang w:eastAsia="ko-KR"/>
              </w:rPr>
            </w:pPr>
            <w:r w:rsidRPr="00FD3478">
              <w:rPr>
                <w:rFonts w:ascii="Aptos Narrow" w:eastAsia="Times New Roman" w:hAnsi="Aptos Narrow" w:cs="Calibri"/>
                <w:color w:val="FFFFFF"/>
                <w:lang w:eastAsia="ko-KR"/>
              </w:rPr>
              <w:t>S/cap used</w:t>
            </w:r>
          </w:p>
        </w:tc>
      </w:tr>
      <w:tr w:rsidR="00FD3478" w:rsidRPr="00FD3478" w14:paraId="722E529A" w14:textId="77777777" w:rsidTr="00FD3478">
        <w:trPr>
          <w:trHeight w:val="300"/>
        </w:trPr>
        <w:tc>
          <w:tcPr>
            <w:tcW w:w="2420" w:type="dxa"/>
            <w:tcBorders>
              <w:top w:val="nil"/>
              <w:left w:val="single" w:sz="4" w:space="0" w:color="000000"/>
              <w:bottom w:val="single" w:sz="4" w:space="0" w:color="000000"/>
              <w:right w:val="single" w:sz="4" w:space="0" w:color="000000"/>
            </w:tcBorders>
            <w:noWrap/>
            <w:vAlign w:val="center"/>
            <w:hideMark/>
          </w:tcPr>
          <w:p w14:paraId="734972C2"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Gas Meter with M-BUS</w:t>
            </w:r>
          </w:p>
        </w:tc>
        <w:tc>
          <w:tcPr>
            <w:tcW w:w="2260" w:type="dxa"/>
            <w:tcBorders>
              <w:top w:val="nil"/>
              <w:left w:val="nil"/>
              <w:bottom w:val="single" w:sz="4" w:space="0" w:color="000000"/>
              <w:right w:val="single" w:sz="4" w:space="0" w:color="000000"/>
            </w:tcBorders>
            <w:noWrap/>
            <w:vAlign w:val="center"/>
            <w:hideMark/>
          </w:tcPr>
          <w:p w14:paraId="63C46A18"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M-BUS + GPRS</w:t>
            </w:r>
          </w:p>
        </w:tc>
        <w:tc>
          <w:tcPr>
            <w:tcW w:w="1440" w:type="dxa"/>
            <w:tcBorders>
              <w:top w:val="nil"/>
              <w:left w:val="nil"/>
              <w:bottom w:val="single" w:sz="4" w:space="0" w:color="000000"/>
              <w:right w:val="single" w:sz="4" w:space="0" w:color="000000"/>
            </w:tcBorders>
            <w:noWrap/>
            <w:vAlign w:val="center"/>
            <w:hideMark/>
          </w:tcPr>
          <w:p w14:paraId="01271109"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Li-ion Battery</w:t>
            </w:r>
          </w:p>
        </w:tc>
        <w:tc>
          <w:tcPr>
            <w:tcW w:w="1260" w:type="dxa"/>
            <w:tcBorders>
              <w:top w:val="nil"/>
              <w:left w:val="nil"/>
              <w:bottom w:val="single" w:sz="4" w:space="0" w:color="000000"/>
              <w:right w:val="single" w:sz="4" w:space="0" w:color="000000"/>
            </w:tcBorders>
            <w:noWrap/>
            <w:vAlign w:val="center"/>
            <w:hideMark/>
          </w:tcPr>
          <w:p w14:paraId="52C5327A"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25F 3V</w:t>
            </w:r>
          </w:p>
        </w:tc>
      </w:tr>
      <w:tr w:rsidR="00FD3478" w:rsidRPr="00FD3478" w14:paraId="79127E76" w14:textId="77777777" w:rsidTr="00FD3478">
        <w:trPr>
          <w:trHeight w:val="300"/>
        </w:trPr>
        <w:tc>
          <w:tcPr>
            <w:tcW w:w="2420" w:type="dxa"/>
            <w:tcBorders>
              <w:top w:val="nil"/>
              <w:left w:val="single" w:sz="4" w:space="0" w:color="000000"/>
              <w:bottom w:val="single" w:sz="4" w:space="0" w:color="000000"/>
              <w:right w:val="single" w:sz="4" w:space="0" w:color="000000"/>
            </w:tcBorders>
            <w:noWrap/>
            <w:vAlign w:val="center"/>
            <w:hideMark/>
          </w:tcPr>
          <w:p w14:paraId="7623D2E8"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Gas Meter with GPRS</w:t>
            </w:r>
          </w:p>
        </w:tc>
        <w:tc>
          <w:tcPr>
            <w:tcW w:w="2260" w:type="dxa"/>
            <w:tcBorders>
              <w:top w:val="nil"/>
              <w:left w:val="nil"/>
              <w:bottom w:val="single" w:sz="4" w:space="0" w:color="000000"/>
              <w:right w:val="single" w:sz="4" w:space="0" w:color="000000"/>
            </w:tcBorders>
            <w:noWrap/>
            <w:vAlign w:val="center"/>
            <w:hideMark/>
          </w:tcPr>
          <w:p w14:paraId="575EFCF3"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M-BUs + GPRS+ Zigbee</w:t>
            </w:r>
          </w:p>
        </w:tc>
        <w:tc>
          <w:tcPr>
            <w:tcW w:w="1440" w:type="dxa"/>
            <w:tcBorders>
              <w:top w:val="nil"/>
              <w:left w:val="nil"/>
              <w:bottom w:val="single" w:sz="4" w:space="0" w:color="000000"/>
              <w:right w:val="single" w:sz="4" w:space="0" w:color="000000"/>
            </w:tcBorders>
            <w:noWrap/>
            <w:vAlign w:val="center"/>
            <w:hideMark/>
          </w:tcPr>
          <w:p w14:paraId="721ADB0E"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Li-ion Battery</w:t>
            </w:r>
          </w:p>
        </w:tc>
        <w:tc>
          <w:tcPr>
            <w:tcW w:w="1260" w:type="dxa"/>
            <w:tcBorders>
              <w:top w:val="nil"/>
              <w:left w:val="nil"/>
              <w:bottom w:val="single" w:sz="4" w:space="0" w:color="000000"/>
              <w:right w:val="single" w:sz="4" w:space="0" w:color="000000"/>
            </w:tcBorders>
            <w:noWrap/>
            <w:vAlign w:val="center"/>
            <w:hideMark/>
          </w:tcPr>
          <w:p w14:paraId="0B528DB1"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1.5F 6V</w:t>
            </w:r>
          </w:p>
        </w:tc>
      </w:tr>
      <w:tr w:rsidR="00FD3478" w:rsidRPr="00FD3478" w14:paraId="2EE5C10C" w14:textId="77777777" w:rsidTr="00FD3478">
        <w:trPr>
          <w:trHeight w:val="300"/>
        </w:trPr>
        <w:tc>
          <w:tcPr>
            <w:tcW w:w="2420" w:type="dxa"/>
            <w:tcBorders>
              <w:top w:val="nil"/>
              <w:left w:val="single" w:sz="4" w:space="0" w:color="000000"/>
              <w:bottom w:val="single" w:sz="4" w:space="0" w:color="000000"/>
              <w:right w:val="single" w:sz="4" w:space="0" w:color="000000"/>
            </w:tcBorders>
            <w:noWrap/>
            <w:vAlign w:val="center"/>
            <w:hideMark/>
          </w:tcPr>
          <w:p w14:paraId="558A79CA"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Electricity Meters RTC</w:t>
            </w:r>
          </w:p>
        </w:tc>
        <w:tc>
          <w:tcPr>
            <w:tcW w:w="2260" w:type="dxa"/>
            <w:tcBorders>
              <w:top w:val="nil"/>
              <w:left w:val="nil"/>
              <w:bottom w:val="single" w:sz="4" w:space="0" w:color="000000"/>
              <w:right w:val="single" w:sz="4" w:space="0" w:color="000000"/>
            </w:tcBorders>
            <w:noWrap/>
            <w:vAlign w:val="center"/>
            <w:hideMark/>
          </w:tcPr>
          <w:p w14:paraId="3C6F1D37"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GPRS</w:t>
            </w:r>
          </w:p>
        </w:tc>
        <w:tc>
          <w:tcPr>
            <w:tcW w:w="1440" w:type="dxa"/>
            <w:tcBorders>
              <w:top w:val="nil"/>
              <w:left w:val="nil"/>
              <w:bottom w:val="single" w:sz="4" w:space="0" w:color="000000"/>
              <w:right w:val="single" w:sz="4" w:space="0" w:color="000000"/>
            </w:tcBorders>
            <w:noWrap/>
            <w:vAlign w:val="center"/>
            <w:hideMark/>
          </w:tcPr>
          <w:p w14:paraId="0DC090DD"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Mains</w:t>
            </w:r>
          </w:p>
        </w:tc>
        <w:tc>
          <w:tcPr>
            <w:tcW w:w="1260" w:type="dxa"/>
            <w:tcBorders>
              <w:top w:val="nil"/>
              <w:left w:val="nil"/>
              <w:bottom w:val="single" w:sz="4" w:space="0" w:color="000000"/>
              <w:right w:val="single" w:sz="4" w:space="0" w:color="000000"/>
            </w:tcBorders>
            <w:noWrap/>
            <w:vAlign w:val="center"/>
            <w:hideMark/>
          </w:tcPr>
          <w:p w14:paraId="2F822582"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5F 3V</w:t>
            </w:r>
          </w:p>
        </w:tc>
      </w:tr>
      <w:tr w:rsidR="00FD3478" w:rsidRPr="00FD3478" w14:paraId="03534C04" w14:textId="77777777" w:rsidTr="00FD3478">
        <w:trPr>
          <w:trHeight w:val="300"/>
        </w:trPr>
        <w:tc>
          <w:tcPr>
            <w:tcW w:w="2420" w:type="dxa"/>
            <w:tcBorders>
              <w:top w:val="nil"/>
              <w:left w:val="single" w:sz="4" w:space="0" w:color="000000"/>
              <w:bottom w:val="single" w:sz="4" w:space="0" w:color="000000"/>
              <w:right w:val="single" w:sz="4" w:space="0" w:color="000000"/>
            </w:tcBorders>
            <w:noWrap/>
            <w:vAlign w:val="center"/>
            <w:hideMark/>
          </w:tcPr>
          <w:p w14:paraId="3F2BB483"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 xml:space="preserve">SMART Meters Last Gasp </w:t>
            </w:r>
          </w:p>
        </w:tc>
        <w:tc>
          <w:tcPr>
            <w:tcW w:w="2260" w:type="dxa"/>
            <w:tcBorders>
              <w:top w:val="nil"/>
              <w:left w:val="nil"/>
              <w:bottom w:val="single" w:sz="4" w:space="0" w:color="000000"/>
              <w:right w:val="single" w:sz="4" w:space="0" w:color="000000"/>
            </w:tcBorders>
            <w:noWrap/>
            <w:vAlign w:val="center"/>
            <w:hideMark/>
          </w:tcPr>
          <w:p w14:paraId="0AB8E68D"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GPRS</w:t>
            </w:r>
          </w:p>
        </w:tc>
        <w:tc>
          <w:tcPr>
            <w:tcW w:w="1440" w:type="dxa"/>
            <w:tcBorders>
              <w:top w:val="nil"/>
              <w:left w:val="nil"/>
              <w:bottom w:val="single" w:sz="4" w:space="0" w:color="000000"/>
              <w:right w:val="single" w:sz="4" w:space="0" w:color="000000"/>
            </w:tcBorders>
            <w:noWrap/>
            <w:vAlign w:val="center"/>
            <w:hideMark/>
          </w:tcPr>
          <w:p w14:paraId="72716458"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Mains</w:t>
            </w:r>
          </w:p>
        </w:tc>
        <w:tc>
          <w:tcPr>
            <w:tcW w:w="1260" w:type="dxa"/>
            <w:tcBorders>
              <w:top w:val="nil"/>
              <w:left w:val="nil"/>
              <w:bottom w:val="single" w:sz="4" w:space="0" w:color="000000"/>
              <w:right w:val="single" w:sz="4" w:space="0" w:color="000000"/>
            </w:tcBorders>
            <w:noWrap/>
            <w:vAlign w:val="center"/>
            <w:hideMark/>
          </w:tcPr>
          <w:p w14:paraId="03237BDC"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25F 3V</w:t>
            </w:r>
          </w:p>
        </w:tc>
      </w:tr>
      <w:tr w:rsidR="00FD3478" w:rsidRPr="00FD3478" w14:paraId="2A2D94C8" w14:textId="77777777" w:rsidTr="00FD3478">
        <w:trPr>
          <w:trHeight w:val="300"/>
        </w:trPr>
        <w:tc>
          <w:tcPr>
            <w:tcW w:w="2420" w:type="dxa"/>
            <w:tcBorders>
              <w:top w:val="nil"/>
              <w:left w:val="single" w:sz="4" w:space="0" w:color="000000"/>
              <w:bottom w:val="single" w:sz="4" w:space="0" w:color="000000"/>
              <w:right w:val="single" w:sz="4" w:space="0" w:color="000000"/>
            </w:tcBorders>
            <w:noWrap/>
            <w:vAlign w:val="center"/>
            <w:hideMark/>
          </w:tcPr>
          <w:p w14:paraId="2D97E590"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GPRS Tracker</w:t>
            </w:r>
          </w:p>
        </w:tc>
        <w:tc>
          <w:tcPr>
            <w:tcW w:w="2260" w:type="dxa"/>
            <w:tcBorders>
              <w:top w:val="nil"/>
              <w:left w:val="nil"/>
              <w:bottom w:val="single" w:sz="4" w:space="0" w:color="000000"/>
              <w:right w:val="single" w:sz="4" w:space="0" w:color="000000"/>
            </w:tcBorders>
            <w:noWrap/>
            <w:vAlign w:val="center"/>
            <w:hideMark/>
          </w:tcPr>
          <w:p w14:paraId="374E80F4"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GPRS</w:t>
            </w:r>
          </w:p>
        </w:tc>
        <w:tc>
          <w:tcPr>
            <w:tcW w:w="1440" w:type="dxa"/>
            <w:tcBorders>
              <w:top w:val="nil"/>
              <w:left w:val="nil"/>
              <w:bottom w:val="single" w:sz="4" w:space="0" w:color="000000"/>
              <w:right w:val="single" w:sz="4" w:space="0" w:color="000000"/>
            </w:tcBorders>
            <w:noWrap/>
            <w:vAlign w:val="center"/>
            <w:hideMark/>
          </w:tcPr>
          <w:p w14:paraId="59B5D2F3"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Car Battery</w:t>
            </w:r>
          </w:p>
        </w:tc>
        <w:tc>
          <w:tcPr>
            <w:tcW w:w="1260" w:type="dxa"/>
            <w:tcBorders>
              <w:top w:val="nil"/>
              <w:left w:val="nil"/>
              <w:bottom w:val="single" w:sz="4" w:space="0" w:color="000000"/>
              <w:right w:val="single" w:sz="4" w:space="0" w:color="000000"/>
            </w:tcBorders>
            <w:noWrap/>
            <w:vAlign w:val="center"/>
            <w:hideMark/>
          </w:tcPr>
          <w:p w14:paraId="2F6AAAF7"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1.5F 6V</w:t>
            </w:r>
          </w:p>
        </w:tc>
      </w:tr>
      <w:tr w:rsidR="00FD3478" w:rsidRPr="00FD3478" w14:paraId="387E5BA5" w14:textId="77777777" w:rsidTr="00FD3478">
        <w:trPr>
          <w:trHeight w:val="300"/>
        </w:trPr>
        <w:tc>
          <w:tcPr>
            <w:tcW w:w="2420" w:type="dxa"/>
            <w:tcBorders>
              <w:top w:val="nil"/>
              <w:left w:val="single" w:sz="4" w:space="0" w:color="000000"/>
              <w:bottom w:val="single" w:sz="4" w:space="0" w:color="000000"/>
              <w:right w:val="single" w:sz="4" w:space="0" w:color="000000"/>
            </w:tcBorders>
            <w:noWrap/>
            <w:vAlign w:val="center"/>
            <w:hideMark/>
          </w:tcPr>
          <w:p w14:paraId="31B18856"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 xml:space="preserve">Vehicle tracker </w:t>
            </w:r>
          </w:p>
        </w:tc>
        <w:tc>
          <w:tcPr>
            <w:tcW w:w="2260" w:type="dxa"/>
            <w:tcBorders>
              <w:top w:val="nil"/>
              <w:left w:val="nil"/>
              <w:bottom w:val="single" w:sz="4" w:space="0" w:color="000000"/>
              <w:right w:val="single" w:sz="4" w:space="0" w:color="000000"/>
            </w:tcBorders>
            <w:noWrap/>
            <w:vAlign w:val="center"/>
            <w:hideMark/>
          </w:tcPr>
          <w:p w14:paraId="02C81041"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GPRS</w:t>
            </w:r>
          </w:p>
        </w:tc>
        <w:tc>
          <w:tcPr>
            <w:tcW w:w="1440" w:type="dxa"/>
            <w:tcBorders>
              <w:top w:val="nil"/>
              <w:left w:val="nil"/>
              <w:bottom w:val="single" w:sz="4" w:space="0" w:color="000000"/>
              <w:right w:val="single" w:sz="4" w:space="0" w:color="000000"/>
            </w:tcBorders>
            <w:noWrap/>
            <w:vAlign w:val="center"/>
            <w:hideMark/>
          </w:tcPr>
          <w:p w14:paraId="50244C41"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Car Battery</w:t>
            </w:r>
          </w:p>
        </w:tc>
        <w:tc>
          <w:tcPr>
            <w:tcW w:w="1260" w:type="dxa"/>
            <w:tcBorders>
              <w:top w:val="nil"/>
              <w:left w:val="nil"/>
              <w:bottom w:val="single" w:sz="4" w:space="0" w:color="000000"/>
              <w:right w:val="single" w:sz="4" w:space="0" w:color="000000"/>
            </w:tcBorders>
            <w:noWrap/>
            <w:vAlign w:val="center"/>
            <w:hideMark/>
          </w:tcPr>
          <w:p w14:paraId="1B8E2DC3"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5F 6V</w:t>
            </w:r>
          </w:p>
        </w:tc>
      </w:tr>
      <w:tr w:rsidR="00FD3478" w:rsidRPr="00FD3478" w14:paraId="5A417F1C" w14:textId="77777777" w:rsidTr="00FD3478">
        <w:trPr>
          <w:trHeight w:val="300"/>
        </w:trPr>
        <w:tc>
          <w:tcPr>
            <w:tcW w:w="2420" w:type="dxa"/>
            <w:tcBorders>
              <w:top w:val="nil"/>
              <w:left w:val="single" w:sz="4" w:space="0" w:color="000000"/>
              <w:bottom w:val="single" w:sz="4" w:space="0" w:color="000000"/>
              <w:right w:val="single" w:sz="4" w:space="0" w:color="000000"/>
            </w:tcBorders>
            <w:noWrap/>
            <w:vAlign w:val="center"/>
            <w:hideMark/>
          </w:tcPr>
          <w:p w14:paraId="628E9F8F"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EPOS</w:t>
            </w:r>
          </w:p>
        </w:tc>
        <w:tc>
          <w:tcPr>
            <w:tcW w:w="2260" w:type="dxa"/>
            <w:tcBorders>
              <w:top w:val="nil"/>
              <w:left w:val="nil"/>
              <w:bottom w:val="single" w:sz="4" w:space="0" w:color="000000"/>
              <w:right w:val="single" w:sz="4" w:space="0" w:color="000000"/>
            </w:tcBorders>
            <w:noWrap/>
            <w:vAlign w:val="center"/>
            <w:hideMark/>
          </w:tcPr>
          <w:p w14:paraId="148C09E4"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GPRS</w:t>
            </w:r>
          </w:p>
        </w:tc>
        <w:tc>
          <w:tcPr>
            <w:tcW w:w="1440" w:type="dxa"/>
            <w:tcBorders>
              <w:top w:val="nil"/>
              <w:left w:val="nil"/>
              <w:bottom w:val="single" w:sz="4" w:space="0" w:color="000000"/>
              <w:right w:val="single" w:sz="4" w:space="0" w:color="000000"/>
            </w:tcBorders>
            <w:noWrap/>
            <w:vAlign w:val="center"/>
            <w:hideMark/>
          </w:tcPr>
          <w:p w14:paraId="5B643A9B"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Mains</w:t>
            </w:r>
          </w:p>
        </w:tc>
        <w:tc>
          <w:tcPr>
            <w:tcW w:w="1260" w:type="dxa"/>
            <w:tcBorders>
              <w:top w:val="nil"/>
              <w:left w:val="nil"/>
              <w:bottom w:val="single" w:sz="4" w:space="0" w:color="000000"/>
              <w:right w:val="single" w:sz="4" w:space="0" w:color="000000"/>
            </w:tcBorders>
            <w:noWrap/>
            <w:vAlign w:val="center"/>
            <w:hideMark/>
          </w:tcPr>
          <w:p w14:paraId="2F2930CA" w14:textId="77777777" w:rsidR="00FD3478" w:rsidRPr="00FD3478" w:rsidRDefault="00FD3478" w:rsidP="00FD3478">
            <w:pPr>
              <w:spacing w:after="0" w:line="240" w:lineRule="auto"/>
              <w:jc w:val="center"/>
              <w:rPr>
                <w:rFonts w:ascii="Aptos Narrow" w:eastAsia="Times New Roman" w:hAnsi="Aptos Narrow" w:cs="Calibri"/>
                <w:color w:val="000000"/>
                <w:lang w:eastAsia="ko-KR"/>
              </w:rPr>
            </w:pPr>
            <w:r w:rsidRPr="00FD3478">
              <w:rPr>
                <w:rFonts w:ascii="Aptos Narrow" w:eastAsia="Times New Roman" w:hAnsi="Aptos Narrow" w:cs="Calibri"/>
                <w:color w:val="000000"/>
                <w:lang w:eastAsia="ko-KR"/>
              </w:rPr>
              <w:t>15F 3V</w:t>
            </w:r>
          </w:p>
        </w:tc>
      </w:tr>
    </w:tbl>
    <w:p w14:paraId="3062BDF8" w14:textId="24E77B21" w:rsidR="007A493E" w:rsidRPr="007A493E" w:rsidRDefault="007A493E" w:rsidP="007A493E">
      <w:pPr>
        <w:shd w:val="clear" w:color="auto" w:fill="FFFFFF"/>
        <w:spacing w:before="100" w:beforeAutospacing="1" w:after="100" w:afterAutospacing="1" w:line="240" w:lineRule="auto"/>
        <w:rPr>
          <w:rFonts w:cstheme="minorHAnsi"/>
          <w:color w:val="333333"/>
          <w:sz w:val="24"/>
          <w:szCs w:val="24"/>
          <w:lang w:val="en" w:eastAsia="ko-KR"/>
        </w:rPr>
      </w:pPr>
      <w:r w:rsidRPr="007A493E">
        <w:rPr>
          <w:rFonts w:cstheme="minorHAnsi"/>
          <w:color w:val="333333"/>
          <w:sz w:val="24"/>
          <w:szCs w:val="24"/>
          <w:lang w:val="en" w:eastAsia="ko-KR"/>
        </w:rPr>
        <w:t>Supercapacitors can deliver pulse power for more than 500,000 full charge–discharge cycles and achieve lifetimes of over 25 years at 25°C ambient when a 3V product is de-rated to 2.7V. They also reduce both transportation and end-of-life costs.</w:t>
      </w:r>
    </w:p>
    <w:p w14:paraId="4D78AE88" w14:textId="5F6B5510" w:rsidR="007A493E" w:rsidRPr="007A493E" w:rsidRDefault="007A493E" w:rsidP="007A493E">
      <w:pPr>
        <w:shd w:val="clear" w:color="auto" w:fill="FFFFFF"/>
        <w:spacing w:before="100" w:beforeAutospacing="1" w:after="100" w:afterAutospacing="1" w:line="240" w:lineRule="auto"/>
        <w:rPr>
          <w:rFonts w:cstheme="minorHAnsi"/>
          <w:color w:val="333333"/>
          <w:sz w:val="24"/>
          <w:szCs w:val="24"/>
          <w:lang w:val="en" w:eastAsia="ko-KR"/>
        </w:rPr>
      </w:pPr>
      <w:proofErr w:type="spellStart"/>
      <w:r w:rsidRPr="007A493E">
        <w:rPr>
          <w:rFonts w:cstheme="minorHAnsi"/>
          <w:color w:val="333333"/>
          <w:sz w:val="24"/>
          <w:szCs w:val="24"/>
          <w:lang w:val="en" w:eastAsia="ko-KR"/>
        </w:rPr>
        <w:t>VINATech’s</w:t>
      </w:r>
      <w:proofErr w:type="spellEnd"/>
      <w:r w:rsidRPr="007A493E">
        <w:rPr>
          <w:rFonts w:cstheme="minorHAnsi"/>
          <w:color w:val="333333"/>
          <w:sz w:val="24"/>
          <w:szCs w:val="24"/>
          <w:lang w:val="en" w:eastAsia="ko-KR"/>
        </w:rPr>
        <w:t xml:space="preserve"> new VPC(VEL) series hybrid supercapacitors, rated at 3.8V, </w:t>
      </w:r>
      <w:proofErr w:type="gramStart"/>
      <w:r w:rsidRPr="007A493E">
        <w:rPr>
          <w:rFonts w:cstheme="minorHAnsi"/>
          <w:color w:val="333333"/>
          <w:sz w:val="24"/>
          <w:szCs w:val="24"/>
          <w:lang w:val="en" w:eastAsia="ko-KR"/>
        </w:rPr>
        <w:t>feature</w:t>
      </w:r>
      <w:proofErr w:type="gramEnd"/>
      <w:r w:rsidRPr="007A493E">
        <w:rPr>
          <w:rFonts w:cstheme="minorHAnsi"/>
          <w:color w:val="333333"/>
          <w:sz w:val="24"/>
          <w:szCs w:val="24"/>
          <w:lang w:val="en" w:eastAsia="ko-KR"/>
        </w:rPr>
        <w:t xml:space="preserve"> exceptionally low leakage current. Compared to costly battery-based alternatives, the VPC(VEL) series offers clear advantages in performance and reliability.</w:t>
      </w:r>
    </w:p>
    <w:p w14:paraId="532F18B7" w14:textId="29CC7D16" w:rsidR="003E5EBA" w:rsidRDefault="007A493E" w:rsidP="007A493E">
      <w:pPr>
        <w:shd w:val="clear" w:color="auto" w:fill="FFFFFF"/>
        <w:spacing w:before="100" w:beforeAutospacing="1" w:after="100" w:afterAutospacing="1" w:line="240" w:lineRule="auto"/>
        <w:rPr>
          <w:rFonts w:cstheme="minorHAnsi"/>
          <w:color w:val="333333"/>
          <w:sz w:val="24"/>
          <w:szCs w:val="24"/>
          <w:lang w:val="en" w:eastAsia="ko-KR"/>
        </w:rPr>
      </w:pPr>
      <w:r w:rsidRPr="007A493E">
        <w:rPr>
          <w:rFonts w:cstheme="minorHAnsi"/>
          <w:color w:val="333333"/>
          <w:sz w:val="24"/>
          <w:szCs w:val="24"/>
          <w:lang w:val="en" w:eastAsia="ko-KR"/>
        </w:rPr>
        <w:lastRenderedPageBreak/>
        <w:t xml:space="preserve">When combined with GSM/GPRS modules, </w:t>
      </w:r>
      <w:proofErr w:type="spellStart"/>
      <w:r w:rsidRPr="007A493E">
        <w:rPr>
          <w:rFonts w:cstheme="minorHAnsi"/>
          <w:color w:val="333333"/>
          <w:sz w:val="24"/>
          <w:szCs w:val="24"/>
          <w:lang w:val="en" w:eastAsia="ko-KR"/>
        </w:rPr>
        <w:t>VINATech</w:t>
      </w:r>
      <w:proofErr w:type="spellEnd"/>
      <w:r w:rsidRPr="007A493E">
        <w:rPr>
          <w:rFonts w:cstheme="minorHAnsi"/>
          <w:color w:val="333333"/>
          <w:sz w:val="24"/>
          <w:szCs w:val="24"/>
          <w:lang w:val="en" w:eastAsia="ko-KR"/>
        </w:rPr>
        <w:t xml:space="preserve"> supercapacitors help overcome the toughest power-budget challenges, ensuring reliable performance and longer device lifetimes. This delivers a stronger, more efficient solution for your </w:t>
      </w:r>
      <w:proofErr w:type="gramStart"/>
      <w:r w:rsidRPr="007A493E">
        <w:rPr>
          <w:rFonts w:cstheme="minorHAnsi"/>
          <w:color w:val="333333"/>
          <w:sz w:val="24"/>
          <w:szCs w:val="24"/>
          <w:lang w:val="en" w:eastAsia="ko-KR"/>
        </w:rPr>
        <w:t>application—</w:t>
      </w:r>
      <w:proofErr w:type="gramEnd"/>
      <w:r w:rsidRPr="007A493E">
        <w:rPr>
          <w:rFonts w:cstheme="minorHAnsi"/>
          <w:color w:val="333333"/>
          <w:sz w:val="24"/>
          <w:szCs w:val="24"/>
          <w:lang w:val="en" w:eastAsia="ko-KR"/>
        </w:rPr>
        <w:t>something that conventional alternatives cannot easily match.</w:t>
      </w:r>
    </w:p>
    <w:p w14:paraId="2C1F2250" w14:textId="3F368C6C" w:rsidR="00FD3478" w:rsidRDefault="006D14BB" w:rsidP="002A5138">
      <w:pPr>
        <w:shd w:val="clear" w:color="auto" w:fill="FFFFFF"/>
        <w:spacing w:before="100" w:beforeAutospacing="1" w:after="100" w:afterAutospacing="1" w:line="240" w:lineRule="auto"/>
        <w:rPr>
          <w:rFonts w:cstheme="minorHAnsi"/>
          <w:color w:val="333333"/>
          <w:sz w:val="24"/>
          <w:szCs w:val="24"/>
          <w:lang w:val="en" w:eastAsia="ko-KR"/>
        </w:rPr>
      </w:pPr>
      <w:r>
        <w:rPr>
          <w:noProof/>
        </w:rPr>
        <w:drawing>
          <wp:inline distT="0" distB="0" distL="0" distR="0" wp14:anchorId="2AB5EFB7" wp14:editId="33BEC00C">
            <wp:extent cx="6645910" cy="4060825"/>
            <wp:effectExtent l="0" t="0" r="2540" b="0"/>
            <wp:docPr id="8" name="Picture 7">
              <a:extLst xmlns:a="http://schemas.openxmlformats.org/drawingml/2006/main">
                <a:ext uri="{FF2B5EF4-FFF2-40B4-BE49-F238E27FC236}">
                  <a16:creationId xmlns:a16="http://schemas.microsoft.com/office/drawing/2014/main" id="{B18CCBFE-FBA8-ABC5-59E2-732EBA215E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B18CCBFE-FBA8-ABC5-59E2-732EBA215EBF}"/>
                        </a:ext>
                      </a:extLst>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645910" cy="4060825"/>
                    </a:xfrm>
                    <a:prstGeom prst="rect">
                      <a:avLst/>
                    </a:prstGeom>
                    <a:noFill/>
                  </pic:spPr>
                </pic:pic>
              </a:graphicData>
            </a:graphic>
          </wp:inline>
        </w:drawing>
      </w:r>
    </w:p>
    <w:p w14:paraId="4E021E74" w14:textId="6B5DF848" w:rsidR="00260AF7" w:rsidRPr="00261228" w:rsidRDefault="00260AF7" w:rsidP="002A5138">
      <w:pPr>
        <w:shd w:val="clear" w:color="auto" w:fill="FFFFFF"/>
        <w:spacing w:before="100" w:beforeAutospacing="1" w:after="100" w:afterAutospacing="1" w:line="240" w:lineRule="auto"/>
        <w:rPr>
          <w:rFonts w:ascii="Times New Roman" w:eastAsia="Times New Roman" w:hAnsi="Times New Roman" w:cs="Times New Roman"/>
          <w:color w:val="333333"/>
          <w:sz w:val="24"/>
          <w:szCs w:val="24"/>
          <w:lang w:val="en" w:eastAsia="en-GB"/>
        </w:rPr>
      </w:pPr>
    </w:p>
    <w:p w14:paraId="044D58F0" w14:textId="02B02AE7" w:rsidR="002A5138" w:rsidRDefault="002A5138"/>
    <w:sectPr w:rsidR="002A5138" w:rsidSect="00D905F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5138"/>
    <w:rsid w:val="000D17F4"/>
    <w:rsid w:val="001B4680"/>
    <w:rsid w:val="001E112B"/>
    <w:rsid w:val="00227A2A"/>
    <w:rsid w:val="00260AF7"/>
    <w:rsid w:val="00261228"/>
    <w:rsid w:val="002A5138"/>
    <w:rsid w:val="003E5EBA"/>
    <w:rsid w:val="00585A9A"/>
    <w:rsid w:val="006D14BB"/>
    <w:rsid w:val="007A493E"/>
    <w:rsid w:val="00874C6C"/>
    <w:rsid w:val="008A25AB"/>
    <w:rsid w:val="008C605F"/>
    <w:rsid w:val="00953A1A"/>
    <w:rsid w:val="009E28FA"/>
    <w:rsid w:val="00A55BC9"/>
    <w:rsid w:val="00B74D89"/>
    <w:rsid w:val="00D905F8"/>
    <w:rsid w:val="00DE1864"/>
    <w:rsid w:val="00E26124"/>
    <w:rsid w:val="00E6111A"/>
    <w:rsid w:val="00F43B65"/>
    <w:rsid w:val="00FD3478"/>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786983"/>
  <w15:chartTrackingRefBased/>
  <w15:docId w15:val="{CEBB927E-91D1-4A83-8FD1-B010906A2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204441">
      <w:bodyDiv w:val="1"/>
      <w:marLeft w:val="0"/>
      <w:marRight w:val="0"/>
      <w:marTop w:val="0"/>
      <w:marBottom w:val="0"/>
      <w:divBdr>
        <w:top w:val="none" w:sz="0" w:space="0" w:color="auto"/>
        <w:left w:val="none" w:sz="0" w:space="0" w:color="auto"/>
        <w:bottom w:val="none" w:sz="0" w:space="0" w:color="auto"/>
        <w:right w:val="none" w:sz="0" w:space="0" w:color="auto"/>
      </w:divBdr>
    </w:div>
    <w:div w:id="1030644178">
      <w:bodyDiv w:val="1"/>
      <w:marLeft w:val="0"/>
      <w:marRight w:val="0"/>
      <w:marTop w:val="0"/>
      <w:marBottom w:val="0"/>
      <w:divBdr>
        <w:top w:val="none" w:sz="0" w:space="0" w:color="auto"/>
        <w:left w:val="none" w:sz="0" w:space="0" w:color="auto"/>
        <w:bottom w:val="none" w:sz="0" w:space="0" w:color="auto"/>
        <w:right w:val="none" w:sz="0" w:space="0" w:color="auto"/>
      </w:divBdr>
    </w:div>
    <w:div w:id="1743914721">
      <w:bodyDiv w:val="1"/>
      <w:marLeft w:val="0"/>
      <w:marRight w:val="0"/>
      <w:marTop w:val="0"/>
      <w:marBottom w:val="0"/>
      <w:divBdr>
        <w:top w:val="none" w:sz="0" w:space="0" w:color="auto"/>
        <w:left w:val="none" w:sz="0" w:space="0" w:color="auto"/>
        <w:bottom w:val="none" w:sz="0" w:space="0" w:color="auto"/>
        <w:right w:val="none" w:sz="0" w:space="0" w:color="auto"/>
      </w:divBdr>
      <w:divsChild>
        <w:div w:id="659772551">
          <w:marLeft w:val="0"/>
          <w:marRight w:val="0"/>
          <w:marTop w:val="0"/>
          <w:marBottom w:val="0"/>
          <w:divBdr>
            <w:top w:val="none" w:sz="0" w:space="0" w:color="auto"/>
            <w:left w:val="none" w:sz="0" w:space="0" w:color="auto"/>
            <w:bottom w:val="none" w:sz="0" w:space="0" w:color="auto"/>
            <w:right w:val="none" w:sz="0" w:space="0" w:color="auto"/>
          </w:divBdr>
          <w:divsChild>
            <w:div w:id="492330235">
              <w:marLeft w:val="0"/>
              <w:marRight w:val="0"/>
              <w:marTop w:val="0"/>
              <w:marBottom w:val="0"/>
              <w:divBdr>
                <w:top w:val="none" w:sz="0" w:space="0" w:color="auto"/>
                <w:left w:val="none" w:sz="0" w:space="0" w:color="auto"/>
                <w:bottom w:val="none" w:sz="0" w:space="0" w:color="auto"/>
                <w:right w:val="none" w:sz="0" w:space="0" w:color="auto"/>
              </w:divBdr>
              <w:divsChild>
                <w:div w:id="170723853">
                  <w:marLeft w:val="0"/>
                  <w:marRight w:val="0"/>
                  <w:marTop w:val="0"/>
                  <w:marBottom w:val="0"/>
                  <w:divBdr>
                    <w:top w:val="none" w:sz="0" w:space="0" w:color="auto"/>
                    <w:left w:val="none" w:sz="0" w:space="0" w:color="auto"/>
                    <w:bottom w:val="none" w:sz="0" w:space="0" w:color="auto"/>
                    <w:right w:val="none" w:sz="0" w:space="0" w:color="auto"/>
                  </w:divBdr>
                  <w:divsChild>
                    <w:div w:id="1332948839">
                      <w:marLeft w:val="0"/>
                      <w:marRight w:val="0"/>
                      <w:marTop w:val="0"/>
                      <w:marBottom w:val="0"/>
                      <w:divBdr>
                        <w:top w:val="none" w:sz="0" w:space="0" w:color="auto"/>
                        <w:left w:val="none" w:sz="0" w:space="0" w:color="auto"/>
                        <w:bottom w:val="none" w:sz="0" w:space="0" w:color="auto"/>
                        <w:right w:val="none" w:sz="0" w:space="0" w:color="auto"/>
                      </w:divBdr>
                      <w:divsChild>
                        <w:div w:id="1762289386">
                          <w:marLeft w:val="0"/>
                          <w:marRight w:val="0"/>
                          <w:marTop w:val="0"/>
                          <w:marBottom w:val="600"/>
                          <w:divBdr>
                            <w:top w:val="none" w:sz="0" w:space="0" w:color="auto"/>
                            <w:left w:val="none" w:sz="0" w:space="0" w:color="auto"/>
                            <w:bottom w:val="none" w:sz="0" w:space="0" w:color="auto"/>
                            <w:right w:val="none" w:sz="0" w:space="0" w:color="auto"/>
                          </w:divBdr>
                          <w:divsChild>
                            <w:div w:id="1428035915">
                              <w:marLeft w:val="0"/>
                              <w:marRight w:val="0"/>
                              <w:marTop w:val="0"/>
                              <w:marBottom w:val="0"/>
                              <w:divBdr>
                                <w:top w:val="single" w:sz="6" w:space="15" w:color="DADADA"/>
                                <w:left w:val="single" w:sz="6" w:space="11" w:color="DADADA"/>
                                <w:bottom w:val="single" w:sz="6" w:space="15" w:color="DADADA"/>
                                <w:right w:val="single" w:sz="6" w:space="11" w:color="DADADA"/>
                              </w:divBdr>
                              <w:divsChild>
                                <w:div w:id="90972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TotalTime>
  <Pages>2</Pages>
  <Words>498</Words>
  <Characters>2845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Collen</dc:creator>
  <cp:keywords/>
  <dc:description/>
  <cp:lastModifiedBy>Chris Park</cp:lastModifiedBy>
  <cp:revision>7</cp:revision>
  <dcterms:created xsi:type="dcterms:W3CDTF">2020-02-13T11:17:00Z</dcterms:created>
  <dcterms:modified xsi:type="dcterms:W3CDTF">2025-09-01T15:37:00Z</dcterms:modified>
</cp:coreProperties>
</file>